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78D6" w14:textId="77777777" w:rsidR="00B13D8E" w:rsidRPr="00ED1DF7" w:rsidRDefault="00B13D8E" w:rsidP="00B13D8E">
      <w:pPr>
        <w:spacing w:line="229" w:lineRule="exact"/>
        <w:jc w:val="center"/>
        <w:textAlignment w:val="baseline"/>
        <w:rPr>
          <w:b/>
          <w:color w:val="000000"/>
          <w:sz w:val="20"/>
        </w:rPr>
      </w:pPr>
      <w:bookmarkStart w:id="0" w:name="TOC_Chap46"/>
      <w:bookmarkStart w:id="1" w:name="_Toc17197936"/>
      <w:bookmarkStart w:id="2" w:name="_Toc240280912"/>
      <w:r w:rsidRPr="00ED1DF7">
        <w:rPr>
          <w:b/>
          <w:color w:val="000000"/>
          <w:sz w:val="20"/>
        </w:rPr>
        <w:t>NOTICE OF INTENT</w:t>
      </w:r>
    </w:p>
    <w:p w14:paraId="22A05E58" w14:textId="77777777" w:rsidR="00B13D8E" w:rsidRPr="00ED1DF7" w:rsidRDefault="00B13D8E" w:rsidP="00B13D8E">
      <w:pPr>
        <w:spacing w:before="122" w:line="229" w:lineRule="exact"/>
        <w:jc w:val="center"/>
        <w:textAlignment w:val="baseline"/>
        <w:rPr>
          <w:b/>
          <w:color w:val="000000"/>
          <w:sz w:val="20"/>
        </w:rPr>
      </w:pPr>
      <w:r w:rsidRPr="00ED1DF7">
        <w:rPr>
          <w:b/>
          <w:color w:val="000000"/>
          <w:sz w:val="20"/>
        </w:rPr>
        <w:t xml:space="preserve">Department of Health, </w:t>
      </w:r>
      <w:r w:rsidRPr="00ED1DF7">
        <w:rPr>
          <w:b/>
          <w:color w:val="000000"/>
          <w:sz w:val="20"/>
        </w:rPr>
        <w:br/>
        <w:t>Board of Medical Examiners</w:t>
      </w:r>
    </w:p>
    <w:p w14:paraId="7D501D13" w14:textId="60651505" w:rsidR="00B13D8E" w:rsidRPr="00ED1DF7" w:rsidRDefault="003333D3" w:rsidP="00B13D8E">
      <w:pPr>
        <w:spacing w:before="101" w:line="235" w:lineRule="exact"/>
        <w:jc w:val="center"/>
        <w:textAlignment w:val="baseline"/>
        <w:rPr>
          <w:color w:val="000000"/>
          <w:sz w:val="20"/>
        </w:rPr>
      </w:pPr>
      <w:r w:rsidRPr="00ED1DF7">
        <w:rPr>
          <w:color w:val="000000"/>
          <w:sz w:val="20"/>
        </w:rPr>
        <w:t>Rules of Procedure</w:t>
      </w:r>
      <w:r w:rsidR="00B13D8E" w:rsidRPr="00ED1DF7">
        <w:rPr>
          <w:color w:val="000000"/>
          <w:sz w:val="20"/>
        </w:rPr>
        <w:t xml:space="preserve">; </w:t>
      </w:r>
      <w:r w:rsidR="00E53F11" w:rsidRPr="00ED1DF7">
        <w:rPr>
          <w:color w:val="000000"/>
          <w:sz w:val="20"/>
        </w:rPr>
        <w:t>Adjudication</w:t>
      </w:r>
      <w:r w:rsidR="00B13D8E" w:rsidRPr="00ED1DF7">
        <w:rPr>
          <w:color w:val="000000"/>
          <w:sz w:val="20"/>
        </w:rPr>
        <w:br/>
        <w:t>(LAC 46:XLV.9920)</w:t>
      </w:r>
    </w:p>
    <w:p w14:paraId="05784A35" w14:textId="10BB50AE" w:rsidR="00B13D8E" w:rsidRPr="00ED1DF7" w:rsidRDefault="00B13D8E" w:rsidP="00B13D8E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before="120" w:after="120"/>
        <w:ind w:firstLine="360"/>
        <w:jc w:val="both"/>
        <w:outlineLvl w:val="4"/>
        <w:rPr>
          <w:color w:val="000000"/>
          <w:spacing w:val="1"/>
          <w:sz w:val="20"/>
        </w:rPr>
      </w:pPr>
      <w:bookmarkStart w:id="3" w:name="BreakPoint"/>
      <w:bookmarkEnd w:id="3"/>
      <w:r w:rsidRPr="00ED1DF7">
        <w:rPr>
          <w:color w:val="000000"/>
          <w:spacing w:val="1"/>
          <w:kern w:val="2"/>
          <w:sz w:val="20"/>
        </w:rPr>
        <w:t xml:space="preserve">Notice is hereby given that in accordance with the Louisiana Administrative Procedure Act, R.S. 49:950 </w:t>
      </w:r>
      <w:r w:rsidRPr="00ED1DF7">
        <w:rPr>
          <w:i/>
          <w:color w:val="000000"/>
          <w:spacing w:val="1"/>
          <w:kern w:val="2"/>
          <w:sz w:val="20"/>
        </w:rPr>
        <w:t xml:space="preserve">et seq., </w:t>
      </w:r>
      <w:r w:rsidRPr="00ED1DF7">
        <w:rPr>
          <w:color w:val="000000"/>
          <w:spacing w:val="1"/>
          <w:kern w:val="2"/>
          <w:sz w:val="20"/>
        </w:rPr>
        <w:t xml:space="preserve">and pursuant to the authority vested in the Louisiana State Board of Medical Examiners (board) by the Louisiana Medical Practice Act, R.S. 37:1270, the </w:t>
      </w:r>
      <w:r w:rsidRPr="00ED1DF7">
        <w:rPr>
          <w:kern w:val="2"/>
          <w:sz w:val="20"/>
        </w:rPr>
        <w:t xml:space="preserve">board proposes to amend its rules governing recusal in administrative hearings and/or </w:t>
      </w:r>
      <w:bookmarkStart w:id="4" w:name="_Hlk111015876"/>
      <w:r w:rsidRPr="00ED1DF7">
        <w:rPr>
          <w:kern w:val="2"/>
          <w:sz w:val="20"/>
        </w:rPr>
        <w:t>proceedings to clarify that in addition to the board, the Director of Investigations (DOI) and/or the Independent Counsel may also be recused, and to provide for a pro tem DOI, when needed</w:t>
      </w:r>
      <w:r w:rsidR="003333D3" w:rsidRPr="00ED1DF7">
        <w:rPr>
          <w:kern w:val="2"/>
          <w:sz w:val="20"/>
        </w:rPr>
        <w:t>,</w:t>
      </w:r>
      <w:r w:rsidRPr="00ED1DF7">
        <w:rPr>
          <w:kern w:val="2"/>
          <w:sz w:val="20"/>
        </w:rPr>
        <w:t xml:space="preserve"> and the qualifications of the pro tem DOI</w:t>
      </w:r>
      <w:bookmarkEnd w:id="4"/>
      <w:r w:rsidRPr="00ED1DF7">
        <w:rPr>
          <w:kern w:val="2"/>
          <w:sz w:val="20"/>
        </w:rPr>
        <w:t xml:space="preserve">.    The </w:t>
      </w:r>
      <w:r w:rsidRPr="00ED1DF7">
        <w:rPr>
          <w:color w:val="000000"/>
          <w:spacing w:val="1"/>
          <w:kern w:val="2"/>
          <w:sz w:val="20"/>
        </w:rPr>
        <w:t>proposed amendments are set forth below</w:t>
      </w:r>
      <w:r w:rsidRPr="00ED1DF7">
        <w:rPr>
          <w:b/>
          <w:color w:val="000000"/>
          <w:spacing w:val="1"/>
          <w:kern w:val="2"/>
          <w:sz w:val="20"/>
        </w:rPr>
        <w:t>.</w:t>
      </w:r>
    </w:p>
    <w:p w14:paraId="72C380BC" w14:textId="77777777" w:rsidR="00B13D8E" w:rsidRPr="00ED1DF7" w:rsidRDefault="00B13D8E" w:rsidP="00B13D8E">
      <w:pPr>
        <w:tabs>
          <w:tab w:val="left" w:pos="720"/>
          <w:tab w:val="left" w:pos="979"/>
          <w:tab w:val="left" w:pos="1152"/>
          <w:tab w:val="left" w:pos="4500"/>
          <w:tab w:val="left" w:pos="4680"/>
          <w:tab w:val="left" w:pos="4860"/>
          <w:tab w:val="left" w:pos="5040"/>
          <w:tab w:val="left" w:pos="7200"/>
        </w:tabs>
        <w:spacing w:before="120" w:after="120"/>
        <w:jc w:val="center"/>
        <w:outlineLvl w:val="4"/>
        <w:rPr>
          <w:b/>
          <w:sz w:val="20"/>
        </w:rPr>
      </w:pPr>
      <w:r w:rsidRPr="00ED1DF7">
        <w:rPr>
          <w:b/>
          <w:sz w:val="20"/>
        </w:rPr>
        <w:t>Title 46</w:t>
      </w:r>
    </w:p>
    <w:p w14:paraId="512E8FF3" w14:textId="6F43EB97" w:rsidR="00B13D8E" w:rsidRPr="00ED1DF7" w:rsidRDefault="00B13D8E" w:rsidP="00B13D8E">
      <w:pPr>
        <w:pStyle w:val="Part1"/>
        <w:rPr>
          <w:sz w:val="20"/>
        </w:rPr>
      </w:pPr>
      <w:r w:rsidRPr="00ED1DF7">
        <w:rPr>
          <w:sz w:val="20"/>
        </w:rPr>
        <w:t xml:space="preserve">PROFESSIONAL AND OCCUPATIONAL </w:t>
      </w:r>
      <w:r w:rsidR="00C9554A" w:rsidRPr="00ED1DF7">
        <w:rPr>
          <w:sz w:val="20"/>
        </w:rPr>
        <w:t xml:space="preserve"> </w:t>
      </w:r>
    </w:p>
    <w:p w14:paraId="02554D99" w14:textId="77777777" w:rsidR="00B13D8E" w:rsidRPr="00ED1DF7" w:rsidRDefault="00B13D8E" w:rsidP="00B13D8E">
      <w:pPr>
        <w:pStyle w:val="Part1"/>
        <w:rPr>
          <w:sz w:val="20"/>
        </w:rPr>
      </w:pPr>
      <w:r w:rsidRPr="00ED1DF7">
        <w:rPr>
          <w:sz w:val="20"/>
        </w:rPr>
        <w:t>Part XLV.  Medical Professions</w:t>
      </w:r>
    </w:p>
    <w:p w14:paraId="1BE52A0D" w14:textId="77777777" w:rsidR="003333D3" w:rsidRPr="00ED1DF7" w:rsidRDefault="003333D3" w:rsidP="003333D3">
      <w:pPr>
        <w:pStyle w:val="Part"/>
        <w:rPr>
          <w:sz w:val="20"/>
        </w:rPr>
      </w:pPr>
      <w:bookmarkStart w:id="5" w:name="TOC_SubP5"/>
      <w:bookmarkStart w:id="6" w:name="_Toc77686781"/>
      <w:r w:rsidRPr="00ED1DF7">
        <w:rPr>
          <w:sz w:val="20"/>
        </w:rPr>
        <w:t>Subpart 5.  Rules of Procedure</w:t>
      </w:r>
      <w:bookmarkEnd w:id="5"/>
      <w:bookmarkEnd w:id="6"/>
    </w:p>
    <w:p w14:paraId="045410A2" w14:textId="5991A5B5" w:rsidR="00B13D8E" w:rsidRPr="00ED1DF7" w:rsidRDefault="00B13D8E" w:rsidP="00B13D8E">
      <w:pPr>
        <w:pStyle w:val="Chapter"/>
        <w:rPr>
          <w:sz w:val="20"/>
        </w:rPr>
      </w:pPr>
      <w:r w:rsidRPr="00ED1DF7">
        <w:rPr>
          <w:sz w:val="20"/>
        </w:rPr>
        <w:t>Chapter 99.</w:t>
      </w:r>
      <w:bookmarkEnd w:id="0"/>
      <w:r w:rsidRPr="00ED1DF7">
        <w:rPr>
          <w:sz w:val="20"/>
        </w:rPr>
        <w:t xml:space="preserve">  </w:t>
      </w:r>
      <w:bookmarkStart w:id="7" w:name="TOCT_Chap46"/>
      <w:bookmarkStart w:id="8" w:name="TOCT_Chap42"/>
      <w:bookmarkStart w:id="9" w:name="TOCT_Chap57"/>
      <w:bookmarkStart w:id="10" w:name="TOCT_Chap80"/>
      <w:bookmarkStart w:id="11" w:name="TOCT_Chap82"/>
      <w:bookmarkStart w:id="12" w:name="TOCT_Chap85"/>
      <w:bookmarkStart w:id="13" w:name="TOCT_Chap37"/>
      <w:bookmarkStart w:id="14" w:name="TOCT_Chap14"/>
      <w:r w:rsidRPr="00ED1DF7">
        <w:rPr>
          <w:sz w:val="20"/>
        </w:rPr>
        <w:t>Adjudication</w:t>
      </w:r>
      <w:bookmarkEnd w:id="1"/>
      <w:bookmarkEnd w:id="2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6522231" w14:textId="77777777" w:rsidR="00B13D8E" w:rsidRPr="00ED1DF7" w:rsidRDefault="00B13D8E" w:rsidP="00B13D8E">
      <w:pPr>
        <w:pStyle w:val="Section"/>
      </w:pPr>
      <w:bookmarkStart w:id="15" w:name="_Toc77686813"/>
      <w:r w:rsidRPr="00ED1DF7">
        <w:t>§9920.</w:t>
      </w:r>
      <w:r w:rsidRPr="00ED1DF7">
        <w:tab/>
        <w:t>Recusal</w:t>
      </w:r>
      <w:bookmarkEnd w:id="15"/>
    </w:p>
    <w:p w14:paraId="7A909F73" w14:textId="613D8288" w:rsidR="00B13D8E" w:rsidRDefault="00B13D8E" w:rsidP="00356690">
      <w:pPr>
        <w:tabs>
          <w:tab w:val="left" w:pos="360"/>
        </w:tabs>
        <w:jc w:val="both"/>
        <w:rPr>
          <w:sz w:val="20"/>
          <w:u w:val="single"/>
        </w:rPr>
      </w:pPr>
      <w:r w:rsidRPr="00ED1DF7">
        <w:rPr>
          <w:sz w:val="20"/>
        </w:rPr>
        <w:t>A.</w:t>
      </w:r>
      <w:r w:rsidRPr="00ED1DF7">
        <w:rPr>
          <w:sz w:val="20"/>
        </w:rPr>
        <w:tab/>
      </w:r>
      <w:r w:rsidR="00BC2837" w:rsidRPr="00ED1DF7">
        <w:rPr>
          <w:sz w:val="20"/>
        </w:rPr>
        <w:t xml:space="preserve">Any board member, </w:t>
      </w:r>
      <w:r w:rsidR="00BC2837" w:rsidRPr="00ED1DF7">
        <w:rPr>
          <w:sz w:val="20"/>
          <w:u w:val="single"/>
        </w:rPr>
        <w:t>Director of Investigations, and/or Independent Counsel</w:t>
      </w:r>
      <w:r w:rsidR="00BC2837" w:rsidRPr="00ED1DF7">
        <w:rPr>
          <w:sz w:val="20"/>
        </w:rPr>
        <w:t xml:space="preserve"> who, because of bias or interest, is unable to assure a fair </w:t>
      </w:r>
      <w:r w:rsidR="00BC2837" w:rsidRPr="00ED1DF7">
        <w:rPr>
          <w:sz w:val="20"/>
          <w:u w:val="single"/>
        </w:rPr>
        <w:t>and impartial</w:t>
      </w:r>
      <w:r w:rsidR="00BC2837" w:rsidRPr="00ED1DF7">
        <w:rPr>
          <w:sz w:val="20"/>
        </w:rPr>
        <w:t xml:space="preserve"> hearing </w:t>
      </w:r>
      <w:r w:rsidR="00BC2837" w:rsidRPr="00ED1DF7">
        <w:rPr>
          <w:sz w:val="20"/>
          <w:u w:val="single"/>
        </w:rPr>
        <w:t>and/or administrative proceeding</w:t>
      </w:r>
      <w:r w:rsidR="00BC2837" w:rsidRPr="00ED1DF7">
        <w:rPr>
          <w:sz w:val="20"/>
        </w:rPr>
        <w:t xml:space="preserve"> shall be recused from that particular proceeding. The reasons for the recusal shall </w:t>
      </w:r>
      <w:r w:rsidR="00BC2837" w:rsidRPr="00ED1DF7">
        <w:rPr>
          <w:sz w:val="20"/>
          <w:u w:val="single"/>
        </w:rPr>
        <w:t>be</w:t>
      </w:r>
      <w:r w:rsidR="00BC2837" w:rsidRPr="00ED1DF7">
        <w:rPr>
          <w:sz w:val="20"/>
        </w:rPr>
        <w:t xml:space="preserve"> made part of the record. Should the majority of the board members be recused for a particular proceeding, the governor shall be requested to appoint a sufficient number of pro tem members to obtain a quorum for the proceeding. </w:t>
      </w:r>
      <w:r w:rsidR="00BC2837" w:rsidRPr="00ED1DF7">
        <w:rPr>
          <w:sz w:val="20"/>
          <w:u w:val="single"/>
        </w:rPr>
        <w:t>Should the Director of Investigations be recused from a particular hearing and/or administrative proceeding, the board will contract for or specify a pro tem Director of Investigations who meets the criteria outlined in R.S. 37:1270(A)(9) to the satisfaction of the board, for that particular</w:t>
      </w:r>
      <w:r w:rsidR="00F165EB" w:rsidRPr="00ED1DF7">
        <w:rPr>
          <w:sz w:val="20"/>
          <w:u w:val="single"/>
        </w:rPr>
        <w:t xml:space="preserve"> </w:t>
      </w:r>
      <w:r w:rsidR="00BC2837" w:rsidRPr="00ED1DF7">
        <w:rPr>
          <w:sz w:val="20"/>
          <w:u w:val="single"/>
        </w:rPr>
        <w:t>proceeding.</w:t>
      </w:r>
    </w:p>
    <w:p w14:paraId="73F37742" w14:textId="77777777" w:rsidR="00ED1DF7" w:rsidRPr="00ED1DF7" w:rsidRDefault="00ED1DF7" w:rsidP="00356690">
      <w:pPr>
        <w:tabs>
          <w:tab w:val="left" w:pos="360"/>
        </w:tabs>
        <w:jc w:val="both"/>
        <w:rPr>
          <w:sz w:val="20"/>
        </w:rPr>
      </w:pPr>
    </w:p>
    <w:p w14:paraId="234B37C9" w14:textId="60D81508" w:rsidR="00B13D8E" w:rsidRPr="00ED1DF7" w:rsidRDefault="00B13D8E" w:rsidP="00B13D8E">
      <w:pPr>
        <w:pStyle w:val="AuthorityNote"/>
        <w:ind w:firstLine="0"/>
        <w:rPr>
          <w:sz w:val="20"/>
        </w:rPr>
      </w:pPr>
      <w:r w:rsidRPr="00ED1DF7">
        <w:rPr>
          <w:sz w:val="20"/>
        </w:rPr>
        <w:tab/>
        <w:t>AUTHORITY NOTE:</w:t>
      </w:r>
      <w:r w:rsidR="00F165EB" w:rsidRPr="00ED1DF7">
        <w:rPr>
          <w:sz w:val="20"/>
        </w:rPr>
        <w:t xml:space="preserve"> </w:t>
      </w:r>
      <w:r w:rsidRPr="00ED1DF7">
        <w:rPr>
          <w:sz w:val="20"/>
        </w:rPr>
        <w:tab/>
        <w:t>Promulgated in accordance with R.S. 37:1261-1292 and 37:1270(A)(5).</w:t>
      </w:r>
    </w:p>
    <w:p w14:paraId="28F12C67" w14:textId="6D120CA9" w:rsidR="00B13D8E" w:rsidRPr="00ED1DF7" w:rsidRDefault="00B13D8E" w:rsidP="00FF76BE">
      <w:pPr>
        <w:pStyle w:val="HistoricalNote"/>
        <w:rPr>
          <w:sz w:val="20"/>
        </w:rPr>
      </w:pPr>
      <w:r w:rsidRPr="00ED1DF7">
        <w:rPr>
          <w:sz w:val="20"/>
        </w:rPr>
        <w:t>HISTORICAL NOTE:</w:t>
      </w:r>
      <w:r w:rsidRPr="00ED1DF7">
        <w:rPr>
          <w:sz w:val="20"/>
        </w:rPr>
        <w:tab/>
        <w:t>Promulgated by the Department of Health and Hospitals, Board of Medical Examiners, LR 41:2630 (December 2015), LR 48: ( 202</w:t>
      </w:r>
      <w:r w:rsidR="00F165EB" w:rsidRPr="00ED1DF7">
        <w:rPr>
          <w:sz w:val="20"/>
        </w:rPr>
        <w:t>2</w:t>
      </w:r>
      <w:r w:rsidRPr="00ED1DF7">
        <w:rPr>
          <w:sz w:val="20"/>
        </w:rPr>
        <w:t>).</w:t>
      </w:r>
    </w:p>
    <w:p w14:paraId="3C7956A9" w14:textId="77777777" w:rsidR="00ED1DF7" w:rsidRDefault="00ED1DF7" w:rsidP="0056783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144F5" w14:textId="77777777" w:rsidR="00B13D8E" w:rsidRPr="006D0852" w:rsidRDefault="00B13D8E" w:rsidP="00B13D8E">
      <w:pPr>
        <w:pStyle w:val="HistoricalNote"/>
        <w:rPr>
          <w:sz w:val="13"/>
          <w:szCs w:val="13"/>
        </w:rPr>
      </w:pPr>
    </w:p>
    <w:p w14:paraId="3FF0AFDC" w14:textId="77777777" w:rsidR="0074429E" w:rsidRDefault="0074429E" w:rsidP="00B13D8E">
      <w:pPr>
        <w:rPr>
          <w:sz w:val="18"/>
          <w:szCs w:val="18"/>
        </w:rPr>
        <w:sectPr w:rsidR="0074429E" w:rsidSect="0074429E">
          <w:headerReference w:type="default" r:id="rId6"/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14:paraId="2DFF472B" w14:textId="77777777" w:rsidR="00B13D8E" w:rsidRPr="006D0852" w:rsidRDefault="00B13D8E" w:rsidP="00B13D8E">
      <w:pPr>
        <w:rPr>
          <w:sz w:val="18"/>
          <w:szCs w:val="18"/>
        </w:rPr>
      </w:pPr>
    </w:p>
    <w:p w14:paraId="3022CF01" w14:textId="77777777" w:rsidR="00F6379C" w:rsidRPr="006D0852" w:rsidRDefault="00F6379C">
      <w:pPr>
        <w:rPr>
          <w:sz w:val="18"/>
          <w:szCs w:val="18"/>
        </w:rPr>
      </w:pPr>
    </w:p>
    <w:sectPr w:rsidR="00666D0D" w:rsidRPr="006D0852" w:rsidSect="0074429E">
      <w:type w:val="continuous"/>
      <w:pgSz w:w="12240" w:h="15840"/>
      <w:pgMar w:top="1440" w:right="1296" w:bottom="1440" w:left="129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18D9" w14:textId="77777777" w:rsidR="009161AE" w:rsidRPr="006D0852" w:rsidRDefault="009161AE" w:rsidP="009161AE">
      <w:pPr>
        <w:rPr>
          <w:sz w:val="18"/>
          <w:szCs w:val="18"/>
        </w:rPr>
      </w:pPr>
      <w:r w:rsidRPr="006D0852">
        <w:rPr>
          <w:sz w:val="18"/>
          <w:szCs w:val="18"/>
        </w:rPr>
        <w:separator/>
      </w:r>
    </w:p>
  </w:endnote>
  <w:endnote w:type="continuationSeparator" w:id="0">
    <w:p w14:paraId="0F4FA95E" w14:textId="77777777" w:rsidR="009161AE" w:rsidRPr="006D0852" w:rsidRDefault="009161AE" w:rsidP="009161AE">
      <w:pPr>
        <w:rPr>
          <w:sz w:val="18"/>
          <w:szCs w:val="18"/>
        </w:rPr>
      </w:pPr>
      <w:r w:rsidRPr="006D085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E8E7" w14:textId="77777777" w:rsidR="009161AE" w:rsidRPr="006D0852" w:rsidRDefault="009161AE" w:rsidP="009161AE">
      <w:pPr>
        <w:rPr>
          <w:sz w:val="18"/>
          <w:szCs w:val="18"/>
        </w:rPr>
      </w:pPr>
      <w:r w:rsidRPr="006D0852">
        <w:rPr>
          <w:sz w:val="18"/>
          <w:szCs w:val="18"/>
        </w:rPr>
        <w:separator/>
      </w:r>
    </w:p>
  </w:footnote>
  <w:footnote w:type="continuationSeparator" w:id="0">
    <w:p w14:paraId="13093475" w14:textId="77777777" w:rsidR="009161AE" w:rsidRPr="006D0852" w:rsidRDefault="009161AE" w:rsidP="009161AE">
      <w:pPr>
        <w:rPr>
          <w:sz w:val="18"/>
          <w:szCs w:val="18"/>
        </w:rPr>
      </w:pPr>
      <w:r w:rsidRPr="006D085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1B9F" w14:textId="0DBE9558" w:rsidR="009161AE" w:rsidRPr="006D0852" w:rsidRDefault="009161A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8E"/>
    <w:rsid w:val="00143FB4"/>
    <w:rsid w:val="00290CDD"/>
    <w:rsid w:val="002D3323"/>
    <w:rsid w:val="003008C4"/>
    <w:rsid w:val="003333D3"/>
    <w:rsid w:val="00333456"/>
    <w:rsid w:val="00356690"/>
    <w:rsid w:val="00382888"/>
    <w:rsid w:val="00400689"/>
    <w:rsid w:val="00567835"/>
    <w:rsid w:val="00576FD3"/>
    <w:rsid w:val="006D0852"/>
    <w:rsid w:val="0074429E"/>
    <w:rsid w:val="00764A97"/>
    <w:rsid w:val="009161AE"/>
    <w:rsid w:val="00A3033A"/>
    <w:rsid w:val="00B13D8E"/>
    <w:rsid w:val="00B14CBB"/>
    <w:rsid w:val="00BC2837"/>
    <w:rsid w:val="00C9554A"/>
    <w:rsid w:val="00CA1609"/>
    <w:rsid w:val="00E53F11"/>
    <w:rsid w:val="00EB630D"/>
    <w:rsid w:val="00ED1DF7"/>
    <w:rsid w:val="00F165EB"/>
    <w:rsid w:val="00F6379C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D047C6"/>
  <w15:chartTrackingRefBased/>
  <w15:docId w15:val="{62D620C5-2F07-4CA3-9FA1-BC2219D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link w:val="ChapterChar"/>
    <w:rsid w:val="00B13D8E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B13D8E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Part1">
    <w:name w:val="Part1"/>
    <w:basedOn w:val="Part"/>
    <w:rsid w:val="00B13D8E"/>
    <w:pPr>
      <w:outlineLvl w:val="9"/>
    </w:pPr>
  </w:style>
  <w:style w:type="paragraph" w:customStyle="1" w:styleId="Part">
    <w:name w:val="Part"/>
    <w:basedOn w:val="Title"/>
    <w:rsid w:val="00B13D8E"/>
    <w:pPr>
      <w:keepNext/>
      <w:keepLines/>
      <w:spacing w:after="120"/>
      <w:contextualSpacing w:val="0"/>
      <w:jc w:val="center"/>
      <w:outlineLvl w:val="0"/>
    </w:pPr>
    <w:rPr>
      <w:rFonts w:ascii="Times New Roman" w:eastAsia="Times New Roman" w:hAnsi="Times New Roman" w:cs="Times New Roman"/>
      <w:b/>
      <w:spacing w:val="0"/>
      <w:kern w:val="2"/>
      <w:sz w:val="28"/>
      <w:szCs w:val="20"/>
    </w:rPr>
  </w:style>
  <w:style w:type="paragraph" w:customStyle="1" w:styleId="A">
    <w:name w:val="A."/>
    <w:basedOn w:val="Normal"/>
    <w:link w:val="AChar"/>
    <w:rsid w:val="00B13D8E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</w:rPr>
  </w:style>
  <w:style w:type="character" w:customStyle="1" w:styleId="AChar">
    <w:name w:val="A. Char"/>
    <w:link w:val="A"/>
    <w:rsid w:val="00B13D8E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HistoricalNote">
    <w:name w:val="Historical Note"/>
    <w:basedOn w:val="Normal"/>
    <w:link w:val="HistoricalNoteChar"/>
    <w:rsid w:val="00B13D8E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</w:rPr>
  </w:style>
  <w:style w:type="character" w:customStyle="1" w:styleId="HistoricalNoteChar">
    <w:name w:val="Historical Note Char"/>
    <w:link w:val="HistoricalNote"/>
    <w:rsid w:val="00B13D8E"/>
    <w:rPr>
      <w:rFonts w:ascii="Times New Roman" w:eastAsia="Times New Roman" w:hAnsi="Times New Roman" w:cs="Times New Roman"/>
      <w:kern w:val="2"/>
      <w:sz w:val="18"/>
      <w:szCs w:val="20"/>
    </w:rPr>
  </w:style>
  <w:style w:type="character" w:customStyle="1" w:styleId="SectionChar">
    <w:name w:val="Section Char"/>
    <w:link w:val="Section"/>
    <w:locked/>
    <w:rsid w:val="00B13D8E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Section">
    <w:name w:val="Section"/>
    <w:basedOn w:val="Normal"/>
    <w:link w:val="SectionChar"/>
    <w:rsid w:val="00B13D8E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character" w:customStyle="1" w:styleId="AuthorityNoteChar">
    <w:name w:val="Authority Note Char"/>
    <w:link w:val="AuthorityNote"/>
    <w:locked/>
    <w:rsid w:val="00B13D8E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AuthorityNote">
    <w:name w:val="Authority Note"/>
    <w:basedOn w:val="Normal"/>
    <w:link w:val="AuthorityNoteChar"/>
    <w:rsid w:val="00B13D8E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</w:rPr>
  </w:style>
  <w:style w:type="character" w:styleId="Hyperlink">
    <w:name w:val="Hyperlink"/>
    <w:basedOn w:val="DefaultParagraphFont"/>
    <w:uiPriority w:val="99"/>
    <w:unhideWhenUsed/>
    <w:rsid w:val="00B13D8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13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1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1AE"/>
    <w:rPr>
      <w:rFonts w:ascii="Times New Roman" w:eastAsia="Times New Roman" w:hAnsi="Times New Roman" w:cs="Times New Roman"/>
      <w:sz w:val="24"/>
      <w:szCs w:val="20"/>
    </w:rPr>
  </w:style>
  <w:style w:type="paragraph" w:customStyle="1" w:styleId="RegCodeTitle">
    <w:name w:val="Reg Code Title"/>
    <w:basedOn w:val="Normal"/>
    <w:next w:val="Normal"/>
    <w:rsid w:val="00567835"/>
    <w:pPr>
      <w:keepNext/>
      <w:jc w:val="center"/>
    </w:pPr>
    <w:rPr>
      <w:b/>
      <w:kern w:val="28"/>
      <w:sz w:val="20"/>
    </w:rPr>
  </w:style>
  <w:style w:type="paragraph" w:customStyle="1" w:styleId="Default">
    <w:name w:val="Default"/>
    <w:rsid w:val="005678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08C4"/>
    <w:pPr>
      <w:ind w:left="720"/>
      <w:contextualSpacing/>
    </w:pPr>
  </w:style>
  <w:style w:type="paragraph" w:customStyle="1" w:styleId="RegSignature">
    <w:name w:val="Reg Signature"/>
    <w:basedOn w:val="Normal"/>
    <w:rsid w:val="003008C4"/>
    <w:pPr>
      <w:keepNext/>
      <w:ind w:left="216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Peyton, Esq</dc:creator>
  <cp:keywords/>
  <dc:description/>
  <cp:lastModifiedBy>Lauryn Sudduth</cp:lastModifiedBy>
  <cp:revision>3</cp:revision>
  <cp:lastPrinted>2022-07-08T21:44:00Z</cp:lastPrinted>
  <dcterms:created xsi:type="dcterms:W3CDTF">2025-03-07T22:23:00Z</dcterms:created>
  <dcterms:modified xsi:type="dcterms:W3CDTF">2025-03-07T22:23:00Z</dcterms:modified>
</cp:coreProperties>
</file>